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1D24" w14:textId="6B68B648" w:rsidR="0094763F" w:rsidRPr="0094763F" w:rsidRDefault="00724DCD">
      <w:pPr>
        <w:rPr>
          <w:b/>
          <w:bCs/>
          <w:sz w:val="28"/>
          <w:szCs w:val="28"/>
        </w:rPr>
      </w:pPr>
      <w:r>
        <w:rPr>
          <w:b/>
          <w:bCs/>
          <w:noProof/>
          <w:sz w:val="28"/>
          <w:szCs w:val="28"/>
        </w:rPr>
        <w:drawing>
          <wp:anchor distT="0" distB="0" distL="114300" distR="114300" simplePos="0" relativeHeight="251658240" behindDoc="0" locked="0" layoutInCell="1" allowOverlap="1" wp14:anchorId="0CD351B4" wp14:editId="109C21B1">
            <wp:simplePos x="0" y="0"/>
            <wp:positionH relativeFrom="column">
              <wp:posOffset>8613775</wp:posOffset>
            </wp:positionH>
            <wp:positionV relativeFrom="paragraph">
              <wp:posOffset>0</wp:posOffset>
            </wp:positionV>
            <wp:extent cx="723900" cy="723900"/>
            <wp:effectExtent l="0" t="0" r="0" b="0"/>
            <wp:wrapThrough wrapText="bothSides">
              <wp:wrapPolygon edited="0">
                <wp:start x="5116" y="0"/>
                <wp:lineTo x="1705" y="1705"/>
                <wp:lineTo x="0" y="4547"/>
                <wp:lineTo x="0" y="21032"/>
                <wp:lineTo x="21032" y="21032"/>
                <wp:lineTo x="21032" y="4547"/>
                <wp:lineTo x="19326" y="1705"/>
                <wp:lineTo x="15916" y="0"/>
                <wp:lineTo x="5116" y="0"/>
              </wp:wrapPolygon>
            </wp:wrapThrough>
            <wp:docPr id="1266015840" name="Picture 1" descr="A logo of a leaf and a sti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15840" name="Picture 1" descr="A logo of a leaf and a stick&#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94763F" w:rsidRPr="0094763F">
        <w:rPr>
          <w:b/>
          <w:bCs/>
          <w:sz w:val="28"/>
          <w:szCs w:val="28"/>
        </w:rPr>
        <w:t>School Name: Thriftwood College</w:t>
      </w:r>
      <w:r>
        <w:rPr>
          <w:b/>
          <w:bCs/>
          <w:sz w:val="28"/>
          <w:szCs w:val="28"/>
        </w:rPr>
        <w:t xml:space="preserve">  </w:t>
      </w:r>
    </w:p>
    <w:p w14:paraId="684A236D" w14:textId="771A473E" w:rsidR="00724DCD" w:rsidRPr="0094763F" w:rsidRDefault="0094763F" w:rsidP="0094763F">
      <w:pPr>
        <w:rPr>
          <w:b/>
          <w:bCs/>
          <w:sz w:val="28"/>
          <w:szCs w:val="28"/>
        </w:rPr>
      </w:pPr>
      <w:r w:rsidRPr="0094763F">
        <w:rPr>
          <w:b/>
          <w:bCs/>
          <w:sz w:val="28"/>
          <w:szCs w:val="28"/>
        </w:rPr>
        <w:t>Academic year 202</w:t>
      </w:r>
      <w:r w:rsidR="008E0EC2">
        <w:rPr>
          <w:b/>
          <w:bCs/>
          <w:sz w:val="28"/>
          <w:szCs w:val="28"/>
        </w:rPr>
        <w:t>3</w:t>
      </w:r>
      <w:r w:rsidRPr="0094763F">
        <w:rPr>
          <w:b/>
          <w:bCs/>
          <w:sz w:val="28"/>
          <w:szCs w:val="28"/>
        </w:rPr>
        <w:t>-202</w:t>
      </w:r>
      <w:r w:rsidR="008E0EC2">
        <w:rPr>
          <w:b/>
          <w:bCs/>
          <w:sz w:val="28"/>
          <w:szCs w:val="28"/>
        </w:rPr>
        <w:t>4</w:t>
      </w:r>
    </w:p>
    <w:tbl>
      <w:tblPr>
        <w:tblStyle w:val="TableGrid"/>
        <w:tblW w:w="13320" w:type="dxa"/>
        <w:tblLook w:val="04A0" w:firstRow="1" w:lastRow="0" w:firstColumn="1" w:lastColumn="0" w:noHBand="0" w:noVBand="1"/>
      </w:tblPr>
      <w:tblGrid>
        <w:gridCol w:w="2418"/>
        <w:gridCol w:w="2113"/>
        <w:gridCol w:w="3544"/>
        <w:gridCol w:w="1843"/>
        <w:gridCol w:w="1843"/>
        <w:gridCol w:w="1559"/>
      </w:tblGrid>
      <w:tr w:rsidR="002D4C30" w14:paraId="70A5AF8D" w14:textId="76006D4E" w:rsidTr="00714A1A">
        <w:tc>
          <w:tcPr>
            <w:tcW w:w="2418" w:type="dxa"/>
          </w:tcPr>
          <w:p w14:paraId="3244CBA6" w14:textId="77777777" w:rsidR="002D4C30" w:rsidRDefault="002D4C30" w:rsidP="00B77C45"/>
        </w:tc>
        <w:tc>
          <w:tcPr>
            <w:tcW w:w="7500" w:type="dxa"/>
            <w:gridSpan w:val="3"/>
          </w:tcPr>
          <w:p w14:paraId="14457DB8" w14:textId="446A3100" w:rsidR="002D4C30" w:rsidRPr="00625B26" w:rsidRDefault="002D4C30" w:rsidP="00625B26">
            <w:pPr>
              <w:jc w:val="center"/>
              <w:rPr>
                <w:b/>
                <w:bCs/>
              </w:rPr>
            </w:pPr>
            <w:proofErr w:type="gramStart"/>
            <w:r>
              <w:rPr>
                <w:b/>
                <w:bCs/>
              </w:rPr>
              <w:t>Leavers</w:t>
            </w:r>
            <w:proofErr w:type="gramEnd"/>
            <w:r>
              <w:rPr>
                <w:b/>
                <w:bCs/>
              </w:rPr>
              <w:t xml:space="preserve"> destinations</w:t>
            </w:r>
          </w:p>
        </w:tc>
        <w:tc>
          <w:tcPr>
            <w:tcW w:w="1843" w:type="dxa"/>
          </w:tcPr>
          <w:p w14:paraId="33CC82E4" w14:textId="1CA0906C" w:rsidR="002D4C30" w:rsidRPr="00625B26" w:rsidRDefault="002D4C30" w:rsidP="00625B26">
            <w:pPr>
              <w:jc w:val="center"/>
              <w:rPr>
                <w:b/>
                <w:bCs/>
              </w:rPr>
            </w:pPr>
            <w:r>
              <w:rPr>
                <w:b/>
                <w:bCs/>
              </w:rPr>
              <w:t>Total of leavers</w:t>
            </w:r>
          </w:p>
        </w:tc>
        <w:tc>
          <w:tcPr>
            <w:tcW w:w="1559" w:type="dxa"/>
          </w:tcPr>
          <w:p w14:paraId="48F4C13A" w14:textId="622C6ECE" w:rsidR="002D4C30" w:rsidRPr="00625B26" w:rsidRDefault="002D4C30" w:rsidP="00625B26">
            <w:pPr>
              <w:jc w:val="center"/>
              <w:rPr>
                <w:b/>
                <w:bCs/>
              </w:rPr>
            </w:pPr>
            <w:r w:rsidRPr="00625B26">
              <w:rPr>
                <w:b/>
                <w:bCs/>
              </w:rPr>
              <w:t xml:space="preserve">Percentage of </w:t>
            </w:r>
            <w:r w:rsidRPr="00E143B8">
              <w:rPr>
                <w:b/>
                <w:bCs/>
                <w:highlight w:val="yellow"/>
              </w:rPr>
              <w:t>29 Leavers</w:t>
            </w:r>
          </w:p>
        </w:tc>
      </w:tr>
      <w:tr w:rsidR="002D4C30" w14:paraId="36BF4DC1" w14:textId="584705BF" w:rsidTr="00B52382">
        <w:tc>
          <w:tcPr>
            <w:tcW w:w="2418" w:type="dxa"/>
            <w:vMerge w:val="restart"/>
          </w:tcPr>
          <w:p w14:paraId="1F4C9A21" w14:textId="15C1816B" w:rsidR="002D4C30" w:rsidRDefault="002D4C30" w:rsidP="00B77C45">
            <w:r>
              <w:t>Further / extended education placement</w:t>
            </w:r>
          </w:p>
          <w:p w14:paraId="160A7FD6" w14:textId="77777777" w:rsidR="002D4C30" w:rsidRDefault="002D4C30" w:rsidP="00B77C45"/>
        </w:tc>
        <w:tc>
          <w:tcPr>
            <w:tcW w:w="2113" w:type="dxa"/>
            <w:vMerge w:val="restart"/>
          </w:tcPr>
          <w:p w14:paraId="737CCE04" w14:textId="4B4628C2" w:rsidR="002D4C30" w:rsidRDefault="002D4C30" w:rsidP="00625B26">
            <w:pPr>
              <w:jc w:val="center"/>
            </w:pPr>
            <w:r>
              <w:t>Chelmsford College</w:t>
            </w:r>
          </w:p>
        </w:tc>
        <w:tc>
          <w:tcPr>
            <w:tcW w:w="3544" w:type="dxa"/>
          </w:tcPr>
          <w:p w14:paraId="4013B0DD" w14:textId="1AE2581C" w:rsidR="002D4C30" w:rsidRDefault="002D4C30" w:rsidP="00625B26">
            <w:pPr>
              <w:jc w:val="center"/>
            </w:pPr>
            <w:r>
              <w:t>Bespoke course</w:t>
            </w:r>
          </w:p>
        </w:tc>
        <w:tc>
          <w:tcPr>
            <w:tcW w:w="1843" w:type="dxa"/>
          </w:tcPr>
          <w:p w14:paraId="2BD6F28F" w14:textId="43EAFF2D" w:rsidR="002D4C30" w:rsidRDefault="002D4C30" w:rsidP="00625B26">
            <w:pPr>
              <w:jc w:val="center"/>
            </w:pPr>
            <w:r>
              <w:t>3</w:t>
            </w:r>
          </w:p>
        </w:tc>
        <w:tc>
          <w:tcPr>
            <w:tcW w:w="1843" w:type="dxa"/>
            <w:vMerge w:val="restart"/>
          </w:tcPr>
          <w:p w14:paraId="05FC7BAA" w14:textId="77777777" w:rsidR="002D4C30" w:rsidRDefault="002D4C30" w:rsidP="00B52382"/>
          <w:p w14:paraId="02D5CE27" w14:textId="77777777" w:rsidR="002D4C30" w:rsidRDefault="002D4C30" w:rsidP="00625B26">
            <w:pPr>
              <w:jc w:val="center"/>
            </w:pPr>
          </w:p>
          <w:p w14:paraId="25EC0A87" w14:textId="4220E3F4" w:rsidR="002D4C30" w:rsidRDefault="002D4C30" w:rsidP="00625B26">
            <w:pPr>
              <w:jc w:val="center"/>
            </w:pPr>
            <w:r>
              <w:t>27</w:t>
            </w:r>
          </w:p>
        </w:tc>
        <w:tc>
          <w:tcPr>
            <w:tcW w:w="1559" w:type="dxa"/>
            <w:vMerge w:val="restart"/>
          </w:tcPr>
          <w:p w14:paraId="568DF33F" w14:textId="77777777" w:rsidR="002D4C30" w:rsidRDefault="002D4C30" w:rsidP="00B52382"/>
          <w:p w14:paraId="5376B772" w14:textId="77777777" w:rsidR="002D4C30" w:rsidRDefault="002D4C30" w:rsidP="00625B26">
            <w:pPr>
              <w:jc w:val="center"/>
            </w:pPr>
          </w:p>
          <w:p w14:paraId="70242C2A" w14:textId="1EB9A835" w:rsidR="002D4C30" w:rsidRDefault="002D4C30" w:rsidP="00625B26">
            <w:pPr>
              <w:jc w:val="center"/>
            </w:pPr>
            <w:r>
              <w:t>93%</w:t>
            </w:r>
          </w:p>
        </w:tc>
      </w:tr>
      <w:tr w:rsidR="002D4C30" w14:paraId="284ADE0C" w14:textId="77777777" w:rsidTr="00B52382">
        <w:tc>
          <w:tcPr>
            <w:tcW w:w="2418" w:type="dxa"/>
            <w:vMerge/>
          </w:tcPr>
          <w:p w14:paraId="3C08C201" w14:textId="77777777" w:rsidR="002D4C30" w:rsidRDefault="002D4C30" w:rsidP="00B77C45"/>
        </w:tc>
        <w:tc>
          <w:tcPr>
            <w:tcW w:w="2113" w:type="dxa"/>
            <w:vMerge/>
          </w:tcPr>
          <w:p w14:paraId="370784B1" w14:textId="77777777" w:rsidR="002D4C30" w:rsidRDefault="002D4C30" w:rsidP="00625B26">
            <w:pPr>
              <w:jc w:val="center"/>
            </w:pPr>
          </w:p>
        </w:tc>
        <w:tc>
          <w:tcPr>
            <w:tcW w:w="3544" w:type="dxa"/>
          </w:tcPr>
          <w:p w14:paraId="367A5C75" w14:textId="143C4EA4" w:rsidR="002D4C30" w:rsidRDefault="002D4C30" w:rsidP="00625B26">
            <w:pPr>
              <w:jc w:val="center"/>
            </w:pPr>
            <w:r>
              <w:t>Foundation course</w:t>
            </w:r>
          </w:p>
        </w:tc>
        <w:tc>
          <w:tcPr>
            <w:tcW w:w="1843" w:type="dxa"/>
          </w:tcPr>
          <w:p w14:paraId="0F39CC66" w14:textId="65FB76FB" w:rsidR="002D4C30" w:rsidRDefault="002D4C30" w:rsidP="00625B26">
            <w:pPr>
              <w:jc w:val="center"/>
            </w:pPr>
            <w:r>
              <w:t>13</w:t>
            </w:r>
          </w:p>
        </w:tc>
        <w:tc>
          <w:tcPr>
            <w:tcW w:w="1843" w:type="dxa"/>
            <w:vMerge/>
          </w:tcPr>
          <w:p w14:paraId="069554B8" w14:textId="77777777" w:rsidR="002D4C30" w:rsidRDefault="002D4C30" w:rsidP="00625B26">
            <w:pPr>
              <w:jc w:val="center"/>
            </w:pPr>
          </w:p>
        </w:tc>
        <w:tc>
          <w:tcPr>
            <w:tcW w:w="1559" w:type="dxa"/>
            <w:vMerge/>
          </w:tcPr>
          <w:p w14:paraId="37631B01" w14:textId="4DD1D997" w:rsidR="002D4C30" w:rsidRDefault="002D4C30" w:rsidP="00625B26">
            <w:pPr>
              <w:jc w:val="center"/>
            </w:pPr>
          </w:p>
        </w:tc>
      </w:tr>
      <w:tr w:rsidR="002D4C30" w14:paraId="034E0812" w14:textId="77777777" w:rsidTr="00B52382">
        <w:tc>
          <w:tcPr>
            <w:tcW w:w="2418" w:type="dxa"/>
            <w:vMerge/>
          </w:tcPr>
          <w:p w14:paraId="6168EB14" w14:textId="77777777" w:rsidR="002D4C30" w:rsidRDefault="002D4C30" w:rsidP="00B77C45"/>
        </w:tc>
        <w:tc>
          <w:tcPr>
            <w:tcW w:w="2113" w:type="dxa"/>
            <w:vMerge/>
          </w:tcPr>
          <w:p w14:paraId="110F45AB" w14:textId="77777777" w:rsidR="002D4C30" w:rsidRDefault="002D4C30" w:rsidP="00625B26">
            <w:pPr>
              <w:jc w:val="center"/>
            </w:pPr>
          </w:p>
        </w:tc>
        <w:tc>
          <w:tcPr>
            <w:tcW w:w="3544" w:type="dxa"/>
          </w:tcPr>
          <w:p w14:paraId="11F07E13" w14:textId="5650E5FC" w:rsidR="002D4C30" w:rsidRDefault="002D4C30" w:rsidP="00625B26">
            <w:pPr>
              <w:jc w:val="center"/>
            </w:pPr>
            <w:r>
              <w:t>Gateway</w:t>
            </w:r>
          </w:p>
        </w:tc>
        <w:tc>
          <w:tcPr>
            <w:tcW w:w="1843" w:type="dxa"/>
          </w:tcPr>
          <w:p w14:paraId="52216748" w14:textId="34587F3A" w:rsidR="002D4C30" w:rsidRDefault="002D4C30" w:rsidP="00625B26">
            <w:pPr>
              <w:jc w:val="center"/>
            </w:pPr>
            <w:r>
              <w:t>2</w:t>
            </w:r>
          </w:p>
        </w:tc>
        <w:tc>
          <w:tcPr>
            <w:tcW w:w="1843" w:type="dxa"/>
            <w:vMerge/>
          </w:tcPr>
          <w:p w14:paraId="4EA35ABE" w14:textId="77777777" w:rsidR="002D4C30" w:rsidRDefault="002D4C30" w:rsidP="00625B26">
            <w:pPr>
              <w:jc w:val="center"/>
            </w:pPr>
          </w:p>
        </w:tc>
        <w:tc>
          <w:tcPr>
            <w:tcW w:w="1559" w:type="dxa"/>
            <w:vMerge/>
          </w:tcPr>
          <w:p w14:paraId="668420D4" w14:textId="0209D7AB" w:rsidR="002D4C30" w:rsidRDefault="002D4C30" w:rsidP="00625B26">
            <w:pPr>
              <w:jc w:val="center"/>
            </w:pPr>
          </w:p>
        </w:tc>
      </w:tr>
      <w:tr w:rsidR="002D4C30" w14:paraId="77837C3F" w14:textId="77777777" w:rsidTr="00B52382">
        <w:tc>
          <w:tcPr>
            <w:tcW w:w="2418" w:type="dxa"/>
            <w:vMerge/>
          </w:tcPr>
          <w:p w14:paraId="5207DEF6" w14:textId="77777777" w:rsidR="002D4C30" w:rsidRDefault="002D4C30" w:rsidP="00B77C45"/>
        </w:tc>
        <w:tc>
          <w:tcPr>
            <w:tcW w:w="2113" w:type="dxa"/>
            <w:vMerge/>
          </w:tcPr>
          <w:p w14:paraId="13015DA9" w14:textId="77777777" w:rsidR="002D4C30" w:rsidRDefault="002D4C30" w:rsidP="00625B26">
            <w:pPr>
              <w:jc w:val="center"/>
            </w:pPr>
          </w:p>
        </w:tc>
        <w:tc>
          <w:tcPr>
            <w:tcW w:w="3544" w:type="dxa"/>
          </w:tcPr>
          <w:p w14:paraId="3672CB27" w14:textId="74B028C4" w:rsidR="002D4C30" w:rsidRDefault="002D4C30" w:rsidP="00625B26">
            <w:pPr>
              <w:jc w:val="center"/>
            </w:pPr>
            <w:r>
              <w:t>Specialist course</w:t>
            </w:r>
          </w:p>
        </w:tc>
        <w:tc>
          <w:tcPr>
            <w:tcW w:w="1843" w:type="dxa"/>
          </w:tcPr>
          <w:p w14:paraId="6CE857D4" w14:textId="504665F5" w:rsidR="002D4C30" w:rsidRDefault="002D4C30" w:rsidP="00625B26">
            <w:pPr>
              <w:jc w:val="center"/>
            </w:pPr>
            <w:r>
              <w:t>1</w:t>
            </w:r>
          </w:p>
        </w:tc>
        <w:tc>
          <w:tcPr>
            <w:tcW w:w="1843" w:type="dxa"/>
            <w:vMerge/>
          </w:tcPr>
          <w:p w14:paraId="6ED61420" w14:textId="77777777" w:rsidR="002D4C30" w:rsidRDefault="002D4C30" w:rsidP="00625B26">
            <w:pPr>
              <w:jc w:val="center"/>
            </w:pPr>
          </w:p>
        </w:tc>
        <w:tc>
          <w:tcPr>
            <w:tcW w:w="1559" w:type="dxa"/>
            <w:vMerge/>
          </w:tcPr>
          <w:p w14:paraId="287E56DB" w14:textId="7B545F39" w:rsidR="002D4C30" w:rsidRDefault="002D4C30" w:rsidP="00625B26">
            <w:pPr>
              <w:jc w:val="center"/>
            </w:pPr>
          </w:p>
        </w:tc>
      </w:tr>
      <w:tr w:rsidR="002D4C30" w14:paraId="5213FE1B" w14:textId="77777777" w:rsidTr="00B52382">
        <w:tc>
          <w:tcPr>
            <w:tcW w:w="2418" w:type="dxa"/>
            <w:vMerge/>
          </w:tcPr>
          <w:p w14:paraId="301B8DA8" w14:textId="77777777" w:rsidR="002D4C30" w:rsidRDefault="002D4C30" w:rsidP="00B77C45"/>
        </w:tc>
        <w:tc>
          <w:tcPr>
            <w:tcW w:w="2113" w:type="dxa"/>
            <w:vMerge/>
          </w:tcPr>
          <w:p w14:paraId="2C164411" w14:textId="77777777" w:rsidR="002D4C30" w:rsidRDefault="002D4C30" w:rsidP="00625B26">
            <w:pPr>
              <w:jc w:val="center"/>
            </w:pPr>
          </w:p>
        </w:tc>
        <w:tc>
          <w:tcPr>
            <w:tcW w:w="3544" w:type="dxa"/>
          </w:tcPr>
          <w:p w14:paraId="6D3E1870" w14:textId="4A1DB948" w:rsidR="002D4C30" w:rsidRDefault="002D4C30" w:rsidP="00625B26">
            <w:pPr>
              <w:jc w:val="center"/>
            </w:pPr>
            <w:r>
              <w:t>Public services Level 2</w:t>
            </w:r>
          </w:p>
        </w:tc>
        <w:tc>
          <w:tcPr>
            <w:tcW w:w="1843" w:type="dxa"/>
          </w:tcPr>
          <w:p w14:paraId="023C7FD8" w14:textId="7159E249" w:rsidR="002D4C30" w:rsidRDefault="002D4C30" w:rsidP="00625B26">
            <w:pPr>
              <w:jc w:val="center"/>
            </w:pPr>
            <w:r>
              <w:t>1</w:t>
            </w:r>
          </w:p>
        </w:tc>
        <w:tc>
          <w:tcPr>
            <w:tcW w:w="1843" w:type="dxa"/>
            <w:vMerge/>
          </w:tcPr>
          <w:p w14:paraId="615346D7" w14:textId="77777777" w:rsidR="002D4C30" w:rsidRDefault="002D4C30" w:rsidP="00625B26">
            <w:pPr>
              <w:jc w:val="center"/>
            </w:pPr>
          </w:p>
        </w:tc>
        <w:tc>
          <w:tcPr>
            <w:tcW w:w="1559" w:type="dxa"/>
            <w:vMerge/>
          </w:tcPr>
          <w:p w14:paraId="66013E62" w14:textId="0C923DA3" w:rsidR="002D4C30" w:rsidRDefault="002D4C30" w:rsidP="00625B26">
            <w:pPr>
              <w:jc w:val="center"/>
            </w:pPr>
          </w:p>
        </w:tc>
      </w:tr>
      <w:tr w:rsidR="002D4C30" w14:paraId="12BCFC22" w14:textId="77777777" w:rsidTr="00B52382">
        <w:tc>
          <w:tcPr>
            <w:tcW w:w="2418" w:type="dxa"/>
            <w:vMerge/>
          </w:tcPr>
          <w:p w14:paraId="4474D55A" w14:textId="77777777" w:rsidR="002D4C30" w:rsidRDefault="002D4C30" w:rsidP="00B77C45"/>
        </w:tc>
        <w:tc>
          <w:tcPr>
            <w:tcW w:w="2113" w:type="dxa"/>
          </w:tcPr>
          <w:p w14:paraId="5129B36A" w14:textId="13B6613A" w:rsidR="002D4C30" w:rsidRDefault="002D4C30" w:rsidP="00625B26">
            <w:pPr>
              <w:jc w:val="center"/>
            </w:pPr>
            <w:r>
              <w:t>Colchester Institute</w:t>
            </w:r>
          </w:p>
        </w:tc>
        <w:tc>
          <w:tcPr>
            <w:tcW w:w="3544" w:type="dxa"/>
          </w:tcPr>
          <w:p w14:paraId="47D4BB8E" w14:textId="536C0112" w:rsidR="002D4C30" w:rsidRDefault="002D4C30" w:rsidP="00625B26">
            <w:pPr>
              <w:jc w:val="center"/>
            </w:pPr>
            <w:r>
              <w:t>Steps</w:t>
            </w:r>
          </w:p>
        </w:tc>
        <w:tc>
          <w:tcPr>
            <w:tcW w:w="1843" w:type="dxa"/>
          </w:tcPr>
          <w:p w14:paraId="472C0C74" w14:textId="1716250E" w:rsidR="002D4C30" w:rsidRDefault="002D4C30" w:rsidP="00625B26">
            <w:pPr>
              <w:jc w:val="center"/>
            </w:pPr>
            <w:r>
              <w:t>3</w:t>
            </w:r>
          </w:p>
        </w:tc>
        <w:tc>
          <w:tcPr>
            <w:tcW w:w="1843" w:type="dxa"/>
            <w:vMerge/>
          </w:tcPr>
          <w:p w14:paraId="7FE69E1F" w14:textId="77777777" w:rsidR="002D4C30" w:rsidRDefault="002D4C30" w:rsidP="00625B26">
            <w:pPr>
              <w:jc w:val="center"/>
            </w:pPr>
          </w:p>
        </w:tc>
        <w:tc>
          <w:tcPr>
            <w:tcW w:w="1559" w:type="dxa"/>
            <w:vMerge/>
          </w:tcPr>
          <w:p w14:paraId="4D4CFF40" w14:textId="77777777" w:rsidR="002D4C30" w:rsidRDefault="002D4C30" w:rsidP="00625B26">
            <w:pPr>
              <w:jc w:val="center"/>
            </w:pPr>
          </w:p>
        </w:tc>
      </w:tr>
      <w:tr w:rsidR="002D4C30" w14:paraId="2106A21C" w14:textId="77777777" w:rsidTr="00B52382">
        <w:tc>
          <w:tcPr>
            <w:tcW w:w="2418" w:type="dxa"/>
            <w:vMerge/>
          </w:tcPr>
          <w:p w14:paraId="74E96AE4" w14:textId="77777777" w:rsidR="002D4C30" w:rsidRDefault="002D4C30" w:rsidP="00B77C45"/>
        </w:tc>
        <w:tc>
          <w:tcPr>
            <w:tcW w:w="2113" w:type="dxa"/>
          </w:tcPr>
          <w:p w14:paraId="39B6A5D7" w14:textId="521F92BD" w:rsidR="002D4C30" w:rsidRDefault="002D4C30" w:rsidP="00625B26">
            <w:pPr>
              <w:jc w:val="center"/>
            </w:pPr>
            <w:r>
              <w:t>Other</w:t>
            </w:r>
          </w:p>
        </w:tc>
        <w:tc>
          <w:tcPr>
            <w:tcW w:w="3544" w:type="dxa"/>
          </w:tcPr>
          <w:p w14:paraId="2F04EA12" w14:textId="76ADB99E" w:rsidR="002D4C30" w:rsidRDefault="002D4C30" w:rsidP="00625B26">
            <w:pPr>
              <w:jc w:val="center"/>
            </w:pPr>
          </w:p>
        </w:tc>
        <w:tc>
          <w:tcPr>
            <w:tcW w:w="1843" w:type="dxa"/>
          </w:tcPr>
          <w:p w14:paraId="6A947A85" w14:textId="64724CEB" w:rsidR="002D4C30" w:rsidRDefault="00737601" w:rsidP="00625B26">
            <w:pPr>
              <w:jc w:val="center"/>
            </w:pPr>
            <w:r>
              <w:t>4</w:t>
            </w:r>
          </w:p>
        </w:tc>
        <w:tc>
          <w:tcPr>
            <w:tcW w:w="1843" w:type="dxa"/>
            <w:vMerge/>
          </w:tcPr>
          <w:p w14:paraId="5D2D332E" w14:textId="77777777" w:rsidR="002D4C30" w:rsidRDefault="002D4C30" w:rsidP="00625B26">
            <w:pPr>
              <w:jc w:val="center"/>
            </w:pPr>
          </w:p>
        </w:tc>
        <w:tc>
          <w:tcPr>
            <w:tcW w:w="1559" w:type="dxa"/>
            <w:vMerge/>
          </w:tcPr>
          <w:p w14:paraId="2A115703" w14:textId="77777777" w:rsidR="002D4C30" w:rsidRDefault="002D4C30" w:rsidP="00625B26">
            <w:pPr>
              <w:jc w:val="center"/>
            </w:pPr>
          </w:p>
        </w:tc>
      </w:tr>
      <w:tr w:rsidR="002D4C30" w14:paraId="509414BB" w14:textId="1A35BAC8" w:rsidTr="00714A1A">
        <w:tc>
          <w:tcPr>
            <w:tcW w:w="2418" w:type="dxa"/>
          </w:tcPr>
          <w:p w14:paraId="70CFB17B" w14:textId="3256F8A9" w:rsidR="002D4C30" w:rsidRDefault="002D4C30" w:rsidP="00E97E33">
            <w:r>
              <w:t>NEET (Not in Education, Employment or Training)</w:t>
            </w:r>
          </w:p>
        </w:tc>
        <w:tc>
          <w:tcPr>
            <w:tcW w:w="7500" w:type="dxa"/>
            <w:gridSpan w:val="3"/>
          </w:tcPr>
          <w:p w14:paraId="6AD8AE66" w14:textId="76214E5E" w:rsidR="002D4C30" w:rsidRDefault="002D4C30" w:rsidP="00E97E33">
            <w:pPr>
              <w:jc w:val="center"/>
            </w:pPr>
          </w:p>
        </w:tc>
        <w:tc>
          <w:tcPr>
            <w:tcW w:w="1843" w:type="dxa"/>
          </w:tcPr>
          <w:p w14:paraId="79AA16B8" w14:textId="71C1DCD5" w:rsidR="002D4C30" w:rsidRDefault="002D4C30" w:rsidP="00E97E33">
            <w:pPr>
              <w:jc w:val="center"/>
            </w:pPr>
            <w:r>
              <w:t>2</w:t>
            </w:r>
          </w:p>
        </w:tc>
        <w:tc>
          <w:tcPr>
            <w:tcW w:w="1559" w:type="dxa"/>
          </w:tcPr>
          <w:p w14:paraId="15A75C7E" w14:textId="3643AB8E" w:rsidR="002D4C30" w:rsidRDefault="002D4C30" w:rsidP="00E97E33">
            <w:pPr>
              <w:jc w:val="center"/>
            </w:pPr>
            <w:r>
              <w:t>7%</w:t>
            </w:r>
          </w:p>
        </w:tc>
      </w:tr>
    </w:tbl>
    <w:p w14:paraId="0DD876C6" w14:textId="05AF72BA" w:rsidR="00A15A39" w:rsidRDefault="00A15A39">
      <w:r>
        <w:t>3 students are accessing a blended programme, that includes Bespoke course at Chelmsford provision and day care</w:t>
      </w:r>
      <w:r w:rsidR="007646DF">
        <w:t xml:space="preserve"> / art provision.</w:t>
      </w:r>
    </w:p>
    <w:p w14:paraId="29BC8E69" w14:textId="41DBF83E" w:rsidR="008720D9" w:rsidRPr="00880784" w:rsidRDefault="008720D9">
      <w:pPr>
        <w:rPr>
          <w:rFonts w:ascii="Aptos" w:hAnsi="Aptos"/>
          <w:b/>
          <w:bCs/>
          <w:u w:val="single"/>
        </w:rPr>
      </w:pPr>
      <w:r w:rsidRPr="00880784">
        <w:rPr>
          <w:rFonts w:ascii="Aptos" w:hAnsi="Aptos"/>
          <w:b/>
          <w:bCs/>
          <w:u w:val="single"/>
        </w:rPr>
        <w:t xml:space="preserve">Chelmsford College  </w:t>
      </w:r>
    </w:p>
    <w:p w14:paraId="312C067D" w14:textId="2DF253AF" w:rsidR="003E227E" w:rsidRPr="00880784" w:rsidRDefault="003E227E">
      <w:pPr>
        <w:rPr>
          <w:rFonts w:ascii="Aptos" w:hAnsi="Aptos"/>
        </w:rPr>
      </w:pPr>
      <w:r w:rsidRPr="00E143B8">
        <w:rPr>
          <w:rFonts w:ascii="Aptos" w:hAnsi="Aptos"/>
          <w:color w:val="FF0000"/>
        </w:rPr>
        <w:t xml:space="preserve">Bespoke </w:t>
      </w:r>
      <w:r w:rsidRPr="00880784">
        <w:rPr>
          <w:rFonts w:ascii="Aptos" w:hAnsi="Aptos"/>
        </w:rPr>
        <w:t xml:space="preserve">- </w:t>
      </w:r>
      <w:r w:rsidRPr="00880784">
        <w:rPr>
          <w:rFonts w:ascii="Aptos" w:hAnsi="Aptos" w:cs="Open Sans"/>
          <w:color w:val="545454"/>
          <w:shd w:val="clear" w:color="auto" w:fill="FFFFFF"/>
        </w:rPr>
        <w:t>This offers young adults with SEND a chance to develop essential life skills that can progress them onto a variety of pathways, including vocational courses, employment, and supported living</w:t>
      </w:r>
      <w:r w:rsidR="00596EE8">
        <w:rPr>
          <w:rFonts w:ascii="Aptos" w:hAnsi="Aptos" w:cs="Open Sans"/>
          <w:color w:val="545454"/>
          <w:shd w:val="clear" w:color="auto" w:fill="FFFFFF"/>
        </w:rPr>
        <w:t>.</w:t>
      </w:r>
    </w:p>
    <w:p w14:paraId="66FEBF3F" w14:textId="2C4BEA73" w:rsidR="000778A3" w:rsidRPr="00880784" w:rsidRDefault="000778A3">
      <w:pPr>
        <w:rPr>
          <w:rFonts w:ascii="Aptos" w:hAnsi="Aptos"/>
        </w:rPr>
      </w:pPr>
      <w:r w:rsidRPr="00E143B8">
        <w:rPr>
          <w:rFonts w:ascii="Aptos" w:hAnsi="Aptos"/>
          <w:color w:val="FF0000"/>
        </w:rPr>
        <w:t>Foundation provision</w:t>
      </w:r>
      <w:r w:rsidR="00F37BF8" w:rsidRPr="00E143B8">
        <w:rPr>
          <w:rFonts w:ascii="Aptos" w:hAnsi="Aptos"/>
          <w:color w:val="FF0000"/>
        </w:rPr>
        <w:t xml:space="preserve"> </w:t>
      </w:r>
      <w:r w:rsidR="00F37BF8" w:rsidRPr="00880784">
        <w:rPr>
          <w:rFonts w:ascii="Aptos" w:hAnsi="Aptos"/>
        </w:rPr>
        <w:t>-</w:t>
      </w:r>
      <w:r w:rsidR="00E760E4" w:rsidRPr="00880784">
        <w:rPr>
          <w:rFonts w:ascii="Aptos" w:hAnsi="Aptos" w:cs="Open Sans"/>
          <w:color w:val="545454"/>
          <w:shd w:val="clear" w:color="auto" w:fill="FFFFFF"/>
        </w:rPr>
        <w:t>This pathway has several courses within it, ranging from Employment to Life Skills and Independence, depending on the individual learner's aims.</w:t>
      </w:r>
      <w:r w:rsidR="00E74CD3" w:rsidRPr="00880784">
        <w:rPr>
          <w:rFonts w:ascii="Aptos" w:hAnsi="Aptos" w:cs="Open Sans"/>
          <w:color w:val="545454"/>
          <w:shd w:val="clear" w:color="auto" w:fill="FFFFFF"/>
        </w:rPr>
        <w:t xml:space="preserve"> </w:t>
      </w:r>
    </w:p>
    <w:p w14:paraId="11137784" w14:textId="2383A783" w:rsidR="008720D9" w:rsidRPr="00880784" w:rsidRDefault="000778A3">
      <w:pPr>
        <w:rPr>
          <w:rFonts w:ascii="Aptos" w:hAnsi="Aptos" w:cs="Open Sans"/>
          <w:color w:val="545454"/>
          <w:shd w:val="clear" w:color="auto" w:fill="FFFFFF"/>
        </w:rPr>
      </w:pPr>
      <w:r w:rsidRPr="00E143B8">
        <w:rPr>
          <w:rFonts w:ascii="Aptos" w:hAnsi="Aptos"/>
          <w:color w:val="FF0000"/>
        </w:rPr>
        <w:t>Gateway Provision</w:t>
      </w:r>
      <w:r w:rsidR="00584D83" w:rsidRPr="00E143B8">
        <w:rPr>
          <w:rFonts w:ascii="Aptos" w:hAnsi="Aptos"/>
          <w:color w:val="FF0000"/>
        </w:rPr>
        <w:t xml:space="preserve"> </w:t>
      </w:r>
      <w:r w:rsidR="00E74CD3" w:rsidRPr="00880784">
        <w:rPr>
          <w:rFonts w:ascii="Aptos" w:hAnsi="Aptos"/>
        </w:rPr>
        <w:t xml:space="preserve">- </w:t>
      </w:r>
      <w:r w:rsidR="00722836" w:rsidRPr="00880784">
        <w:rPr>
          <w:rFonts w:ascii="Aptos" w:hAnsi="Aptos" w:cs="Open Sans"/>
          <w:color w:val="545454"/>
          <w:shd w:val="clear" w:color="auto" w:fill="FFFFFF"/>
        </w:rPr>
        <w:t>This pathway hosts our Prince’s Trust Team Programme and Personal Development programmes. These courses help learners progress to the next stage of their journey, whether it is by pursuing further education or looking for employment</w:t>
      </w:r>
      <w:r w:rsidR="00C43D93">
        <w:rPr>
          <w:rFonts w:ascii="Aptos" w:hAnsi="Aptos" w:cs="Open Sans"/>
          <w:color w:val="545454"/>
          <w:shd w:val="clear" w:color="auto" w:fill="FFFFFF"/>
        </w:rPr>
        <w:t>.  Level 1 / 2</w:t>
      </w:r>
    </w:p>
    <w:p w14:paraId="5079F3F5" w14:textId="2035F00A" w:rsidR="00011448" w:rsidRPr="00880784" w:rsidRDefault="00011448">
      <w:pPr>
        <w:rPr>
          <w:rFonts w:ascii="Aptos" w:hAnsi="Aptos" w:cs="Open Sans"/>
          <w:color w:val="545454"/>
          <w:shd w:val="clear" w:color="auto" w:fill="FFFFFF"/>
        </w:rPr>
      </w:pPr>
      <w:r w:rsidRPr="00E143B8">
        <w:rPr>
          <w:rFonts w:ascii="Aptos" w:hAnsi="Aptos" w:cs="Open Sans"/>
          <w:color w:val="FF0000"/>
          <w:shd w:val="clear" w:color="auto" w:fill="FFFFFF"/>
        </w:rPr>
        <w:t xml:space="preserve">Specialist </w:t>
      </w:r>
      <w:r w:rsidR="006D618E" w:rsidRPr="00E143B8">
        <w:rPr>
          <w:rFonts w:ascii="Aptos" w:hAnsi="Aptos" w:cs="Open Sans"/>
          <w:color w:val="FF0000"/>
          <w:shd w:val="clear" w:color="auto" w:fill="FFFFFF"/>
        </w:rPr>
        <w:t>pathway</w:t>
      </w:r>
      <w:r w:rsidRPr="00E143B8">
        <w:rPr>
          <w:rFonts w:ascii="Aptos" w:hAnsi="Aptos" w:cs="Open Sans"/>
          <w:color w:val="FF0000"/>
          <w:shd w:val="clear" w:color="auto" w:fill="FFFFFF"/>
        </w:rPr>
        <w:t xml:space="preserve"> </w:t>
      </w:r>
      <w:r w:rsidRPr="00880784">
        <w:rPr>
          <w:rFonts w:ascii="Aptos" w:hAnsi="Aptos" w:cs="Open Sans"/>
          <w:color w:val="545454"/>
          <w:shd w:val="clear" w:color="auto" w:fill="FFFFFF"/>
        </w:rPr>
        <w:t xml:space="preserve">- We offer </w:t>
      </w:r>
      <w:proofErr w:type="gramStart"/>
      <w:r w:rsidRPr="00880784">
        <w:rPr>
          <w:rFonts w:ascii="Aptos" w:hAnsi="Aptos" w:cs="Open Sans"/>
          <w:color w:val="545454"/>
          <w:shd w:val="clear" w:color="auto" w:fill="FFFFFF"/>
        </w:rPr>
        <w:t>a number of</w:t>
      </w:r>
      <w:proofErr w:type="gramEnd"/>
      <w:r w:rsidRPr="00880784">
        <w:rPr>
          <w:rFonts w:ascii="Aptos" w:hAnsi="Aptos" w:cs="Open Sans"/>
          <w:color w:val="545454"/>
          <w:shd w:val="clear" w:color="auto" w:fill="FFFFFF"/>
        </w:rPr>
        <w:t xml:space="preserve"> specialist pathways to help develop a career in construction such as Bricklaying, Plumbing, Painting and Decorating and Carpentry and Joinery. </w:t>
      </w:r>
    </w:p>
    <w:p w14:paraId="5DF5454B" w14:textId="1B47D055" w:rsidR="006D618E" w:rsidRPr="00880784" w:rsidRDefault="006D618E">
      <w:pPr>
        <w:rPr>
          <w:rFonts w:ascii="Aptos" w:hAnsi="Aptos" w:cs="Open Sans"/>
          <w:color w:val="545454"/>
          <w:shd w:val="clear" w:color="auto" w:fill="FFFFFF"/>
        </w:rPr>
      </w:pPr>
      <w:r w:rsidRPr="00E143B8">
        <w:rPr>
          <w:rFonts w:ascii="Aptos" w:hAnsi="Aptos" w:cs="Open Sans"/>
          <w:color w:val="FF0000"/>
          <w:shd w:val="clear" w:color="auto" w:fill="FFFFFF"/>
        </w:rPr>
        <w:t xml:space="preserve">Public Services </w:t>
      </w:r>
      <w:r w:rsidRPr="00880784">
        <w:rPr>
          <w:rFonts w:ascii="Aptos" w:hAnsi="Aptos" w:cs="Open Sans"/>
          <w:color w:val="545454"/>
          <w:shd w:val="clear" w:color="auto" w:fill="FFFFFF"/>
        </w:rPr>
        <w:t>qualifications equip you with the skills required to work in critical roles that are significant to our society, such as Police Officers, Firefighters, or members of the armed forces.</w:t>
      </w:r>
    </w:p>
    <w:p w14:paraId="6E1D923C" w14:textId="2ECF2B94" w:rsidR="00880784" w:rsidRPr="00880784" w:rsidRDefault="00880784">
      <w:pPr>
        <w:rPr>
          <w:rFonts w:ascii="Aptos" w:hAnsi="Aptos" w:cs="Open Sans"/>
          <w:b/>
          <w:bCs/>
          <w:color w:val="545454"/>
          <w:u w:val="single"/>
          <w:shd w:val="clear" w:color="auto" w:fill="FFFFFF"/>
        </w:rPr>
      </w:pPr>
      <w:r w:rsidRPr="00880784">
        <w:rPr>
          <w:rFonts w:ascii="Aptos" w:hAnsi="Aptos" w:cs="Open Sans"/>
          <w:b/>
          <w:bCs/>
          <w:color w:val="545454"/>
          <w:u w:val="single"/>
          <w:shd w:val="clear" w:color="auto" w:fill="FFFFFF"/>
        </w:rPr>
        <w:t xml:space="preserve">Colchester Institute </w:t>
      </w:r>
    </w:p>
    <w:p w14:paraId="3D770AB3" w14:textId="170E524F" w:rsidR="00880784" w:rsidRPr="00B52382" w:rsidRDefault="00880784">
      <w:pPr>
        <w:rPr>
          <w:rFonts w:ascii="Aptos" w:eastAsia="Times New Roman" w:hAnsi="Aptos" w:cs="Times New Roman"/>
          <w:kern w:val="0"/>
          <w:lang w:eastAsia="en-GB"/>
          <w14:ligatures w14:val="none"/>
        </w:rPr>
      </w:pPr>
      <w:r w:rsidRPr="00E143B8">
        <w:rPr>
          <w:rFonts w:ascii="Aptos" w:hAnsi="Aptos" w:cs="Open Sans"/>
          <w:color w:val="FF0000"/>
          <w:shd w:val="clear" w:color="auto" w:fill="FFFFFF"/>
        </w:rPr>
        <w:t xml:space="preserve">Steps </w:t>
      </w:r>
      <w:r w:rsidRPr="00880784">
        <w:rPr>
          <w:rFonts w:ascii="Aptos" w:hAnsi="Aptos" w:cs="Open Sans"/>
          <w:color w:val="545454"/>
          <w:shd w:val="clear" w:color="auto" w:fill="FFFFFF"/>
        </w:rPr>
        <w:t xml:space="preserve">- </w:t>
      </w:r>
      <w:r w:rsidRPr="00880784">
        <w:rPr>
          <w:rFonts w:ascii="Aptos" w:eastAsia="Times New Roman" w:hAnsi="Aptos" w:cs="Times New Roman"/>
          <w:color w:val="222222"/>
          <w:kern w:val="0"/>
          <w:lang w:eastAsia="en-GB"/>
          <w14:ligatures w14:val="none"/>
        </w:rPr>
        <w:t>STEPS programmes focus on helping young people with individual learning needs to make a successful transition to Further Education, adult life and the world of work.</w:t>
      </w:r>
      <w:r>
        <w:rPr>
          <w:rFonts w:ascii="Aptos" w:eastAsia="Times New Roman" w:hAnsi="Aptos" w:cs="Times New Roman"/>
          <w:kern w:val="0"/>
          <w:lang w:eastAsia="en-GB"/>
          <w14:ligatures w14:val="none"/>
        </w:rPr>
        <w:t xml:space="preserve">  </w:t>
      </w:r>
      <w:r w:rsidRPr="00880784">
        <w:rPr>
          <w:rFonts w:ascii="Aptos" w:eastAsia="Times New Roman" w:hAnsi="Aptos" w:cs="Times New Roman"/>
          <w:color w:val="222222"/>
          <w:kern w:val="0"/>
          <w:lang w:eastAsia="en-GB"/>
          <w14:ligatures w14:val="none"/>
        </w:rPr>
        <w:t>A student’s starting point on STEPS is informed by their learning and progression goals, and assessment of support needs. The curriculum offer extends from Entry level to Level 1 and includes a wide range of exciting subjects</w:t>
      </w:r>
    </w:p>
    <w:sectPr w:rsidR="00880784" w:rsidRPr="00B52382" w:rsidSect="00A36D1E">
      <w:pgSz w:w="16838" w:h="11906" w:orient="landscape"/>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3F"/>
    <w:rsid w:val="00001322"/>
    <w:rsid w:val="00011448"/>
    <w:rsid w:val="0007379B"/>
    <w:rsid w:val="000778A3"/>
    <w:rsid w:val="000D32DC"/>
    <w:rsid w:val="00137DA3"/>
    <w:rsid w:val="00163050"/>
    <w:rsid w:val="00172A5F"/>
    <w:rsid w:val="00176F19"/>
    <w:rsid w:val="001C2F5F"/>
    <w:rsid w:val="001D44AF"/>
    <w:rsid w:val="001E0A0A"/>
    <w:rsid w:val="001E62DD"/>
    <w:rsid w:val="0020137D"/>
    <w:rsid w:val="0028279A"/>
    <w:rsid w:val="00282B51"/>
    <w:rsid w:val="0029134E"/>
    <w:rsid w:val="002A0F53"/>
    <w:rsid w:val="002A6246"/>
    <w:rsid w:val="002D4C30"/>
    <w:rsid w:val="002F7496"/>
    <w:rsid w:val="00332800"/>
    <w:rsid w:val="00377F21"/>
    <w:rsid w:val="00383B81"/>
    <w:rsid w:val="003E227E"/>
    <w:rsid w:val="003F3716"/>
    <w:rsid w:val="004145AA"/>
    <w:rsid w:val="00416ECE"/>
    <w:rsid w:val="00454E2B"/>
    <w:rsid w:val="00497E06"/>
    <w:rsid w:val="004B349B"/>
    <w:rsid w:val="004D37DB"/>
    <w:rsid w:val="004D4F40"/>
    <w:rsid w:val="00515871"/>
    <w:rsid w:val="00524443"/>
    <w:rsid w:val="00562A25"/>
    <w:rsid w:val="00583852"/>
    <w:rsid w:val="00584D83"/>
    <w:rsid w:val="00596EE8"/>
    <w:rsid w:val="005A7EF6"/>
    <w:rsid w:val="00604181"/>
    <w:rsid w:val="00625B26"/>
    <w:rsid w:val="00690201"/>
    <w:rsid w:val="006A66DC"/>
    <w:rsid w:val="006B6789"/>
    <w:rsid w:val="006C254A"/>
    <w:rsid w:val="006D618E"/>
    <w:rsid w:val="00703D42"/>
    <w:rsid w:val="00714A1A"/>
    <w:rsid w:val="00721CBE"/>
    <w:rsid w:val="00722836"/>
    <w:rsid w:val="00724DCD"/>
    <w:rsid w:val="00737601"/>
    <w:rsid w:val="007646DF"/>
    <w:rsid w:val="00776C1C"/>
    <w:rsid w:val="007C2911"/>
    <w:rsid w:val="007D0E7D"/>
    <w:rsid w:val="007E7384"/>
    <w:rsid w:val="008720D9"/>
    <w:rsid w:val="00880784"/>
    <w:rsid w:val="008A0EA1"/>
    <w:rsid w:val="008A55E4"/>
    <w:rsid w:val="008E0EC2"/>
    <w:rsid w:val="009114DE"/>
    <w:rsid w:val="0094763F"/>
    <w:rsid w:val="00975FD7"/>
    <w:rsid w:val="00976456"/>
    <w:rsid w:val="009B4FDE"/>
    <w:rsid w:val="00A13771"/>
    <w:rsid w:val="00A15A39"/>
    <w:rsid w:val="00A36D1E"/>
    <w:rsid w:val="00A503B6"/>
    <w:rsid w:val="00A9408E"/>
    <w:rsid w:val="00AF7C1A"/>
    <w:rsid w:val="00B06CF1"/>
    <w:rsid w:val="00B52382"/>
    <w:rsid w:val="00B67BB4"/>
    <w:rsid w:val="00B73F6F"/>
    <w:rsid w:val="00BA6C46"/>
    <w:rsid w:val="00C43D93"/>
    <w:rsid w:val="00C4612E"/>
    <w:rsid w:val="00C46177"/>
    <w:rsid w:val="00C82EDF"/>
    <w:rsid w:val="00D25B49"/>
    <w:rsid w:val="00DA34ED"/>
    <w:rsid w:val="00DD5BA9"/>
    <w:rsid w:val="00DE232C"/>
    <w:rsid w:val="00E143B8"/>
    <w:rsid w:val="00E17ADB"/>
    <w:rsid w:val="00E74CD3"/>
    <w:rsid w:val="00E760E4"/>
    <w:rsid w:val="00E926A2"/>
    <w:rsid w:val="00E95190"/>
    <w:rsid w:val="00E97E33"/>
    <w:rsid w:val="00F37BF8"/>
    <w:rsid w:val="00F7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3D3A"/>
  <w15:chartTrackingRefBased/>
  <w15:docId w15:val="{76DC2307-3CA8-4218-9105-C079A3E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3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SEAX Trust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Lindo</dc:creator>
  <cp:keywords/>
  <dc:description/>
  <cp:lastModifiedBy>Kirsty Mountain</cp:lastModifiedBy>
  <cp:revision>2</cp:revision>
  <cp:lastPrinted>2024-09-16T13:43:00Z</cp:lastPrinted>
  <dcterms:created xsi:type="dcterms:W3CDTF">2024-09-17T11:17:00Z</dcterms:created>
  <dcterms:modified xsi:type="dcterms:W3CDTF">2024-09-17T11:17:00Z</dcterms:modified>
</cp:coreProperties>
</file>