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99251DC"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 xml:space="preserve">The SEAX Trust and Local </w:t>
      </w:r>
      <w:bookmarkStart w:id="0" w:name="_Hlk157777221"/>
      <w:r w:rsidR="00CA2CBA">
        <w:rPr>
          <w:rFonts w:ascii="Ebrima" w:hAnsi="Ebrima" w:cstheme="minorHAnsi"/>
        </w:rPr>
        <w:t xml:space="preserve">Governance Groups </w:t>
      </w:r>
      <w:bookmarkEnd w:id="0"/>
      <w:r w:rsidRPr="00261C72">
        <w:rPr>
          <w:rFonts w:ascii="Ebrima" w:hAnsi="Ebrima" w:cstheme="minorHAnsi"/>
        </w:rPr>
        <w:t>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2153E59C"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w:t>
      </w:r>
      <w:r w:rsidR="00CA2CBA">
        <w:rPr>
          <w:rFonts w:ascii="Ebrima" w:hAnsi="Ebrima" w:cstheme="minorHAnsi"/>
        </w:rPr>
        <w:t xml:space="preserve">Governance Groups </w:t>
      </w:r>
      <w:r w:rsidRPr="00261C72">
        <w:rPr>
          <w:rFonts w:ascii="Ebrima" w:hAnsi="Ebrima" w:cstheme="minorHAnsi"/>
        </w:rPr>
        <w:t xml:space="preserve">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BE49EDC"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verification that you are not subject to any </w:t>
      </w:r>
      <w:r w:rsidR="00CA2CBA">
        <w:rPr>
          <w:rFonts w:ascii="Ebrima" w:eastAsia="Times New Roman" w:hAnsi="Ebrima" w:cstheme="minorHAnsi"/>
          <w:lang w:eastAsia="en-GB"/>
        </w:rPr>
        <w:t xml:space="preserve">Section </w:t>
      </w:r>
      <w:r w:rsidRPr="00261C72">
        <w:rPr>
          <w:rFonts w:ascii="Ebrima" w:eastAsia="Times New Roman" w:hAnsi="Ebrima" w:cstheme="minorHAnsi"/>
          <w:lang w:eastAsia="en-GB"/>
        </w:rPr>
        <w:t>128 directions preventing you from holding a management position within a school</w:t>
      </w:r>
    </w:p>
    <w:p w14:paraId="71C80E41" w14:textId="0CAF4D45" w:rsidR="00863830" w:rsidRPr="00CA2CBA"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 xml:space="preserve">alification </w:t>
      </w:r>
      <w:r w:rsidR="00863830" w:rsidRPr="00CA2CBA">
        <w:rPr>
          <w:rFonts w:ascii="Ebrima" w:eastAsia="Times New Roman" w:hAnsi="Ebrima" w:cstheme="minorHAnsi"/>
          <w:lang w:eastAsia="en-GB"/>
        </w:rPr>
        <w:t>waiver from Ofsted</w:t>
      </w:r>
    </w:p>
    <w:p w14:paraId="5537DC23" w14:textId="4E9B6D74" w:rsidR="00863830" w:rsidRPr="00CA2CBA"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CA2CBA">
        <w:rPr>
          <w:rStyle w:val="Emphasis"/>
          <w:rFonts w:ascii="Ebrima" w:hAnsi="Ebrima" w:cs="Helvetica"/>
          <w:i w:val="0"/>
          <w:color w:val="222222"/>
          <w:shd w:val="clear" w:color="auto" w:fill="FFFFFF"/>
        </w:rPr>
        <w:t>an online search (including social media) to identify any incidents or issues that have happened, and are publicly available online, which the Trust might want to explore further 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255957E3"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with children to apply for, or undertake, </w:t>
      </w:r>
      <w:r w:rsidR="00CA2CBA">
        <w:rPr>
          <w:rFonts w:ascii="Ebrima" w:eastAsia="Times New Roman" w:hAnsi="Ebrima" w:cstheme="minorHAnsi"/>
          <w:b/>
          <w:color w:val="0070C0"/>
          <w:lang w:eastAsia="en-GB"/>
        </w:rPr>
        <w:t>r</w:t>
      </w:r>
      <w:r w:rsidRPr="00261C72">
        <w:rPr>
          <w:rFonts w:ascii="Ebrima" w:eastAsia="Times New Roman" w:hAnsi="Ebrima" w:cstheme="minorHAnsi"/>
          <w:b/>
          <w:color w:val="0070C0"/>
          <w:lang w:eastAsia="en-GB"/>
        </w:rPr>
        <w:t xml:space="preserve">egulated </w:t>
      </w:r>
      <w:r w:rsidR="00CA2CBA">
        <w:rPr>
          <w:rFonts w:ascii="Ebrima" w:eastAsia="Times New Roman" w:hAnsi="Ebrima" w:cstheme="minorHAnsi"/>
          <w:b/>
          <w:color w:val="0070C0"/>
          <w:lang w:eastAsia="en-GB"/>
        </w:rPr>
        <w:t>a</w:t>
      </w:r>
      <w:r w:rsidRPr="00261C72">
        <w:rPr>
          <w:rFonts w:ascii="Ebrima" w:eastAsia="Times New Roman" w:hAnsi="Ebrima" w:cstheme="minorHAnsi"/>
          <w:b/>
          <w:color w:val="0070C0"/>
          <w:lang w:eastAsia="en-GB"/>
        </w:rPr>
        <w:t>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6D26719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w:t>
      </w:r>
      <w:r w:rsidR="00CA2CBA">
        <w:rPr>
          <w:rFonts w:ascii="Ebrima" w:hAnsi="Ebrima" w:cstheme="minorHAnsi"/>
        </w:rPr>
        <w:t xml:space="preserve">Governance Groups </w:t>
      </w:r>
      <w:r w:rsidRPr="00261C72">
        <w:rPr>
          <w:rFonts w:ascii="Ebrima" w:hAnsi="Ebrima" w:cstheme="minorHAnsi"/>
        </w:rPr>
        <w:t xml:space="preserve">are committed to </w:t>
      </w:r>
      <w:r w:rsidRPr="00261C72">
        <w:rPr>
          <w:rFonts w:ascii="Ebrima" w:eastAsia="Times New Roman" w:hAnsi="Ebrima" w:cstheme="minorHAnsi"/>
          <w:lang w:eastAsia="en-GB"/>
        </w:rPr>
        <w:t>ensuring that people who have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6E0A5F6"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Positive disclosures will be managed on a case by case basis</w:t>
      </w:r>
      <w:r w:rsidR="00CA2CBA">
        <w:rPr>
          <w:rFonts w:ascii="Ebrima" w:eastAsia="Times New Roman" w:hAnsi="Ebrima" w:cstheme="minorHAnsi"/>
          <w:lang w:eastAsia="en-GB"/>
        </w:rPr>
        <w:t>,</w:t>
      </w:r>
      <w:r w:rsidRPr="00261C72">
        <w:rPr>
          <w:rFonts w:ascii="Ebrima" w:eastAsia="Times New Roman" w:hAnsi="Ebrima" w:cstheme="minorHAnsi"/>
          <w:lang w:eastAsia="en-GB"/>
        </w:rPr>
        <w:t xml:space="preserve"> </w:t>
      </w:r>
      <w:proofErr w:type="gramStart"/>
      <w:r w:rsidRPr="00261C72">
        <w:rPr>
          <w:rFonts w:ascii="Ebrima" w:eastAsia="Times New Roman" w:hAnsi="Ebrima" w:cstheme="minorHAnsi"/>
          <w:lang w:eastAsia="en-GB"/>
        </w:rPr>
        <w:t>taking into account</w:t>
      </w:r>
      <w:proofErr w:type="gramEnd"/>
      <w:r w:rsidRPr="00261C72">
        <w:rPr>
          <w:rFonts w:ascii="Ebrima" w:eastAsia="Times New Roman" w:hAnsi="Ebrima" w:cstheme="minorHAnsi"/>
          <w:lang w:eastAsia="en-GB"/>
        </w:rPr>
        <w:t xml:space="preserve">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00B817BF" w:rsid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which were disclosed in error.</w:t>
      </w:r>
    </w:p>
    <w:p w14:paraId="3173B0C9" w14:textId="77777777" w:rsidR="00CA2CBA" w:rsidRPr="00261C72" w:rsidRDefault="00CA2CBA" w:rsidP="00261C72">
      <w:pPr>
        <w:spacing w:after="0" w:line="240" w:lineRule="auto"/>
        <w:ind w:left="426"/>
        <w:rPr>
          <w:rFonts w:ascii="Ebrima" w:eastAsia="Times New Roman" w:hAnsi="Ebrima" w:cstheme="minorHAnsi"/>
          <w:lang w:eastAsia="en-GB"/>
        </w:rPr>
      </w:pP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363A8CA8"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has published a Code of Practice and accompanying explanatory guide. The SEAX Trust is committed to ensuring that it meets the requirements of 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in relation to the processing, handling and security of Disclosure information. </w:t>
      </w:r>
    </w:p>
    <w:p w14:paraId="419C7D58" w14:textId="7F32D1A2"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 xml:space="preserve">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bookmarkStart w:id="1" w:name="_GoBack"/>
      <w:bookmarkEnd w:id="1"/>
    </w:p>
    <w:sectPr w:rsidR="00996DBC" w:rsidRPr="00BE0F35" w:rsidSect="00847F00">
      <w:headerReference w:type="default" r:id="rId8"/>
      <w:footerReference w:type="default" r:id="rId9"/>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18"/>
        <w:szCs w:val="18"/>
      </w:rPr>
      <w:id w:val="2021740360"/>
      <w:docPartObj>
        <w:docPartGallery w:val="Page Numbers (Top of Page)"/>
        <w:docPartUnique/>
      </w:docPartObj>
    </w:sdtPr>
    <w:sdtEnd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6E7136D2"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w:t>
        </w:r>
        <w:r w:rsidR="00CA2CBA">
          <w:rPr>
            <w:rFonts w:ascii="Ebrima" w:hAnsi="Ebrima"/>
            <w:bCs/>
            <w:i/>
            <w:sz w:val="18"/>
            <w:szCs w:val="18"/>
          </w:rPr>
          <w:t>Jan24</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5"/>
  </w:num>
  <w:num w:numId="3">
    <w:abstractNumId w:val="12"/>
  </w:num>
  <w:num w:numId="4">
    <w:abstractNumId w:val="0"/>
  </w:num>
  <w:num w:numId="5">
    <w:abstractNumId w:val="26"/>
  </w:num>
  <w:num w:numId="6">
    <w:abstractNumId w:val="31"/>
  </w:num>
  <w:num w:numId="7">
    <w:abstractNumId w:val="37"/>
  </w:num>
  <w:num w:numId="8">
    <w:abstractNumId w:val="18"/>
  </w:num>
  <w:num w:numId="9">
    <w:abstractNumId w:val="41"/>
  </w:num>
  <w:num w:numId="10">
    <w:abstractNumId w:val="17"/>
  </w:num>
  <w:num w:numId="11">
    <w:abstractNumId w:val="3"/>
  </w:num>
  <w:num w:numId="12">
    <w:abstractNumId w:val="36"/>
  </w:num>
  <w:num w:numId="13">
    <w:abstractNumId w:val="38"/>
  </w:num>
  <w:num w:numId="14">
    <w:abstractNumId w:val="16"/>
  </w:num>
  <w:num w:numId="15">
    <w:abstractNumId w:val="20"/>
  </w:num>
  <w:num w:numId="16">
    <w:abstractNumId w:val="6"/>
  </w:num>
  <w:num w:numId="17">
    <w:abstractNumId w:val="42"/>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7"/>
  </w:num>
  <w:num w:numId="22">
    <w:abstractNumId w:val="28"/>
  </w:num>
  <w:num w:numId="23">
    <w:abstractNumId w:val="34"/>
  </w:num>
  <w:num w:numId="24">
    <w:abstractNumId w:val="19"/>
  </w:num>
  <w:num w:numId="25">
    <w:abstractNumId w:val="15"/>
  </w:num>
  <w:num w:numId="26">
    <w:abstractNumId w:val="39"/>
  </w:num>
  <w:num w:numId="27">
    <w:abstractNumId w:val="4"/>
  </w:num>
  <w:num w:numId="28">
    <w:abstractNumId w:val="11"/>
  </w:num>
  <w:num w:numId="29">
    <w:abstractNumId w:val="1"/>
  </w:num>
  <w:num w:numId="30">
    <w:abstractNumId w:val="32"/>
  </w:num>
  <w:num w:numId="31">
    <w:abstractNumId w:val="43"/>
  </w:num>
  <w:num w:numId="32">
    <w:abstractNumId w:val="30"/>
  </w:num>
  <w:num w:numId="33">
    <w:abstractNumId w:val="10"/>
  </w:num>
  <w:num w:numId="34">
    <w:abstractNumId w:val="9"/>
  </w:num>
  <w:num w:numId="35">
    <w:abstractNumId w:val="33"/>
  </w:num>
  <w:num w:numId="36">
    <w:abstractNumId w:val="22"/>
  </w:num>
  <w:num w:numId="37">
    <w:abstractNumId w:val="40"/>
  </w:num>
  <w:num w:numId="38">
    <w:abstractNumId w:val="24"/>
  </w:num>
  <w:num w:numId="39">
    <w:abstractNumId w:val="25"/>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2CBA"/>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Props1.xml><?xml version="1.0" encoding="utf-8"?>
<ds:datastoreItem xmlns:ds="http://schemas.openxmlformats.org/officeDocument/2006/customXml" ds:itemID="{48461EE4-F73A-4708-AD53-99E17679DF24}">
  <ds:schemaRefs>
    <ds:schemaRef ds:uri="http://schemas.openxmlformats.org/officeDocument/2006/bibliography"/>
  </ds:schemaRefs>
</ds:datastoreItem>
</file>

<file path=customXml/itemProps2.xml><?xml version="1.0" encoding="utf-8"?>
<ds:datastoreItem xmlns:ds="http://schemas.openxmlformats.org/officeDocument/2006/customXml" ds:itemID="{4C0B6793-2DD8-43AF-98BB-E33AD7E88146}"/>
</file>

<file path=customXml/itemProps3.xml><?xml version="1.0" encoding="utf-8"?>
<ds:datastoreItem xmlns:ds="http://schemas.openxmlformats.org/officeDocument/2006/customXml" ds:itemID="{4B4D370B-80E8-4330-B335-D3F9BFCB998E}"/>
</file>

<file path=customXml/itemProps4.xml><?xml version="1.0" encoding="utf-8"?>
<ds:datastoreItem xmlns:ds="http://schemas.openxmlformats.org/officeDocument/2006/customXml" ds:itemID="{7E91E341-7861-466E-8854-F717A443966D}"/>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5</cp:revision>
  <cp:lastPrinted>2018-07-12T12:28:00Z</cp:lastPrinted>
  <dcterms:created xsi:type="dcterms:W3CDTF">2021-07-30T11:50:00Z</dcterms:created>
  <dcterms:modified xsi:type="dcterms:W3CDTF">2024-02-02T14:45:00Z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